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w14:paraId="0A2771A0" w:rsidR="008E2565" w:rsidRDefault="00883091" w:rsidP="00883091">
      <w:pPr>
        <w:rPr>
          <w:b/>
          <w:bCs/>
          <w:sz w:val="28"/>
          <w:lang w:val="fr-FR"/>
        </w:rPr>
      </w:pPr>
      <w:r>
        <w:rPr>
          <w:b/>
          <w:bCs/>
          <w:sz w:val="28"/>
          <w:lang w:val="fr-FR"/>
        </w:rPr>
        <w:t>AWP</w:t>
      </w:r>
      <w:r w:rsidRPr="00883091">
        <w:rPr>
          <w:lang w:val="fr-FR"/>
        </w:rPr>
        <w:t xml:space="preserve"> </w:t>
      </w:r>
      <w:r w:rsidR="008E2565">
        <w:rPr>
          <w:b/>
          <w:bCs/>
          <w:sz w:val="28"/>
          <w:lang w:val="fr-FR"/>
        </w:rPr>
        <w:t>60216</w:t>
      </w:r>
      <w:r>
        <w:rPr>
          <w:b/>
          <w:bCs/>
          <w:sz w:val="28"/>
          <w:lang w:val="fr-FR"/>
        </w:rPr>
        <w:t xml:space="preserve"> – PID</w:t>
      </w:r>
      <w:r w:rsidR="008E2565">
        <w:rPr>
          <w:b/>
          <w:bCs/>
          <w:sz w:val="28"/>
          <w:lang w:val="fr-FR"/>
        </w:rPr>
        <w:t>76983</w:t>
      </w:r>
      <w:r>
        <w:rPr>
          <w:b/>
          <w:bCs/>
          <w:sz w:val="28"/>
          <w:lang w:val="fr-FR"/>
        </w:rPr>
        <w:t xml:space="preserve"> – </w:t>
      </w:r>
      <w:r w:rsidR="008E2565">
        <w:rPr>
          <w:b/>
          <w:bCs/>
          <w:sz w:val="28"/>
          <w:lang w:val="fr-FR"/>
        </w:rPr>
        <w:t>Gestion des débris</w:t>
      </w:r>
    </w:p>
    <w:p w14:paraId="28F4314A" w:rsidR="008E2565" w:rsidRPr="008E2565" w:rsidRDefault="008E2565" w:rsidP="008E2565">
      <w:pPr>
        <w:shd w:val="clear" w:color="auto" w:fill="D9D9D9" w:themeFill="background1" w:themeFillShade="D9"/>
        <w:rPr>
          <w:b/>
          <w:bCs/>
          <w:sz w:val="24"/>
          <w:szCs w:val="24"/>
          <w:lang w:val="fr-FR"/>
        </w:rPr>
      </w:pPr>
      <w:r w:rsidRPr="008E2565">
        <w:rPr>
          <w:b/>
          <w:bCs/>
          <w:sz w:val="24"/>
          <w:szCs w:val="24"/>
          <w:lang w:val="fr-FR"/>
        </w:rPr>
        <w:t xml:space="preserve">Cibles </w:t>
      </w:r>
      <w:r w:rsidRPr="008E2565">
        <w:rPr>
          <w:bCs/>
          <w:sz w:val="24"/>
          <w:szCs w:val="24"/>
          <w:lang w:val="fr-FR"/>
        </w:rPr>
        <w:t>accordées en 2011 et chargées dans ATLAS au début de l’année</w:t>
      </w:r>
    </w:p>
    <w:p w14:paraId="5C95C9F8" w:rsidR="008E2565" w:rsidRPr="008E2565" w:rsidRDefault="008E2565" w:rsidP="008E2565">
      <w:pPr>
        <w:jc w:val="both"/>
        <w:rPr>
          <w:bCs/>
          <w:sz w:val="24"/>
          <w:szCs w:val="24"/>
          <w:lang w:val="fr-FR"/>
        </w:rPr>
      </w:pPr>
      <w:r w:rsidRPr="008E2565">
        <w:rPr>
          <w:bCs/>
          <w:sz w:val="24"/>
          <w:szCs w:val="24"/>
          <w:lang w:val="fr-FR"/>
        </w:rPr>
        <w:t>1) Six plans zonal ont été développés et validés par la communauté et partenaires clés au projet;</w:t>
      </w:r>
    </w:p>
    <w:p w14:paraId="52C37458" w:rsidR="008E2565" w:rsidRPr="008E2565" w:rsidRDefault="008E2565" w:rsidP="008E2565">
      <w:pPr>
        <w:jc w:val="both"/>
        <w:rPr>
          <w:bCs/>
          <w:sz w:val="24"/>
          <w:szCs w:val="24"/>
          <w:lang w:val="fr-FR"/>
        </w:rPr>
      </w:pPr>
      <w:r w:rsidRPr="008E2565">
        <w:rPr>
          <w:bCs/>
          <w:sz w:val="24"/>
          <w:szCs w:val="24"/>
          <w:lang w:val="fr-FR"/>
        </w:rPr>
        <w:t>2) La gestion des débris est inscrite dans les objectifs du MTPTC et de la municipalité ;</w:t>
      </w:r>
    </w:p>
    <w:p w14:paraId="52D3FC62" w:rsidR="008E2565" w:rsidRPr="008E2565" w:rsidRDefault="008E2565" w:rsidP="008E2565">
      <w:pPr>
        <w:jc w:val="both"/>
        <w:rPr>
          <w:bCs/>
          <w:sz w:val="24"/>
          <w:szCs w:val="24"/>
          <w:lang w:val="fr-FR"/>
        </w:rPr>
      </w:pPr>
      <w:r w:rsidRPr="008E2565">
        <w:rPr>
          <w:bCs/>
          <w:sz w:val="24"/>
          <w:szCs w:val="24"/>
          <w:lang w:val="fr-FR"/>
        </w:rPr>
        <w:t>3)</w:t>
      </w:r>
      <w:r>
        <w:rPr>
          <w:bCs/>
          <w:sz w:val="24"/>
          <w:szCs w:val="24"/>
          <w:lang w:val="fr-FR"/>
        </w:rPr>
        <w:t xml:space="preserve"> </w:t>
      </w:r>
      <w:r w:rsidRPr="008E2565">
        <w:rPr>
          <w:bCs/>
          <w:sz w:val="24"/>
          <w:szCs w:val="24"/>
          <w:lang w:val="fr-FR"/>
        </w:rPr>
        <w:t>Tous les matériels pour la mise en œuvre du projet sont acquis;</w:t>
      </w:r>
    </w:p>
    <w:p w14:paraId="7734B22D" w:rsidR="008E2565" w:rsidRPr="008E2565" w:rsidRDefault="008E2565" w:rsidP="008E2565">
      <w:pPr>
        <w:jc w:val="both"/>
        <w:rPr>
          <w:bCs/>
          <w:sz w:val="24"/>
          <w:szCs w:val="24"/>
          <w:lang w:val="fr-FR"/>
        </w:rPr>
      </w:pPr>
      <w:r w:rsidRPr="008E2565">
        <w:rPr>
          <w:bCs/>
          <w:sz w:val="24"/>
          <w:szCs w:val="24"/>
          <w:lang w:val="fr-FR"/>
        </w:rPr>
        <w:t xml:space="preserve">4) Une meilleure compréhension des enjeux de la reconstruction d’Haïti et des quartiers de Port-au-Prince; </w:t>
      </w:r>
    </w:p>
    <w:p w14:paraId="3ABB30A4" w:rsidR="008E2565" w:rsidRPr="008E2565" w:rsidRDefault="008E2565" w:rsidP="008E2565">
      <w:pPr>
        <w:jc w:val="both"/>
        <w:rPr>
          <w:bCs/>
          <w:sz w:val="24"/>
          <w:szCs w:val="24"/>
          <w:lang w:val="fr-FR"/>
        </w:rPr>
      </w:pPr>
      <w:r w:rsidRPr="008E2565">
        <w:rPr>
          <w:bCs/>
          <w:sz w:val="24"/>
          <w:szCs w:val="24"/>
          <w:lang w:val="fr-FR"/>
        </w:rPr>
        <w:t>5)</w:t>
      </w:r>
      <w:r>
        <w:rPr>
          <w:bCs/>
          <w:sz w:val="24"/>
          <w:szCs w:val="24"/>
          <w:lang w:val="fr-FR"/>
        </w:rPr>
        <w:t xml:space="preserve"> </w:t>
      </w:r>
      <w:r w:rsidRPr="008E2565">
        <w:rPr>
          <w:bCs/>
          <w:sz w:val="24"/>
          <w:szCs w:val="24"/>
          <w:lang w:val="fr-FR"/>
        </w:rPr>
        <w:t>Les micro-entreprises  voient leurs capacités de mise en œuvre de suivi de projet renforcées ;</w:t>
      </w:r>
    </w:p>
    <w:p w14:paraId="11BAFEA7" w:rsidR="008E2565" w:rsidRPr="008E2565" w:rsidRDefault="008E2565" w:rsidP="008E2565">
      <w:pPr>
        <w:jc w:val="both"/>
        <w:rPr>
          <w:bCs/>
          <w:sz w:val="24"/>
          <w:szCs w:val="24"/>
          <w:lang w:val="fr-FR"/>
        </w:rPr>
      </w:pPr>
      <w:r w:rsidRPr="008E2565">
        <w:rPr>
          <w:bCs/>
          <w:sz w:val="24"/>
          <w:szCs w:val="24"/>
          <w:lang w:val="fr-FR"/>
        </w:rPr>
        <w:t>6)</w:t>
      </w:r>
      <w:r>
        <w:rPr>
          <w:bCs/>
          <w:sz w:val="24"/>
          <w:szCs w:val="24"/>
          <w:lang w:val="fr-FR"/>
        </w:rPr>
        <w:t xml:space="preserve"> </w:t>
      </w:r>
      <w:r w:rsidRPr="008E2565">
        <w:rPr>
          <w:bCs/>
          <w:sz w:val="24"/>
          <w:szCs w:val="24"/>
          <w:lang w:val="fr-FR"/>
        </w:rPr>
        <w:t xml:space="preserve">18 Personnels recrutés - 1 bureau ouvert et équipé - 3 Véhicules et 1 génératrice </w:t>
      </w:r>
      <w:proofErr w:type="gramStart"/>
      <w:r w:rsidRPr="008E2565">
        <w:rPr>
          <w:bCs/>
          <w:sz w:val="24"/>
          <w:szCs w:val="24"/>
          <w:lang w:val="fr-FR"/>
        </w:rPr>
        <w:t>achetés -</w:t>
      </w:r>
      <w:proofErr w:type="gramEnd"/>
      <w:r w:rsidRPr="008E2565">
        <w:rPr>
          <w:bCs/>
          <w:sz w:val="24"/>
          <w:szCs w:val="24"/>
          <w:lang w:val="fr-FR"/>
        </w:rPr>
        <w:t xml:space="preserve"> Les moyens administratifs et financiers sont déployé;</w:t>
      </w:r>
    </w:p>
    <w:p w14:paraId="4F239ED2" w:rsidR="008E2565" w:rsidRPr="008E2565" w:rsidRDefault="008E2565" w:rsidP="008E2565">
      <w:pPr>
        <w:jc w:val="both"/>
        <w:rPr>
          <w:bCs/>
          <w:sz w:val="24"/>
          <w:szCs w:val="24"/>
          <w:lang w:val="fr-FR"/>
        </w:rPr>
      </w:pPr>
      <w:r w:rsidRPr="008E2565">
        <w:rPr>
          <w:bCs/>
          <w:sz w:val="24"/>
          <w:szCs w:val="24"/>
          <w:lang w:val="fr-FR"/>
        </w:rPr>
        <w:t>7)</w:t>
      </w:r>
      <w:r>
        <w:rPr>
          <w:bCs/>
          <w:sz w:val="24"/>
          <w:szCs w:val="24"/>
          <w:lang w:val="fr-FR"/>
        </w:rPr>
        <w:t xml:space="preserve"> </w:t>
      </w:r>
      <w:r w:rsidRPr="008E2565">
        <w:rPr>
          <w:bCs/>
          <w:sz w:val="24"/>
          <w:szCs w:val="24"/>
          <w:lang w:val="fr-FR"/>
        </w:rPr>
        <w:t>Un plan de restructuration des quartiers sert de base au plan de gestion des débris. Les capacités des organisations communautaires sont établies;</w:t>
      </w:r>
    </w:p>
    <w:p w14:paraId="4120ABBF" w:rsidR="008E2565" w:rsidRPr="008E2565" w:rsidRDefault="008E2565" w:rsidP="008E2565">
      <w:pPr>
        <w:jc w:val="both"/>
        <w:rPr>
          <w:bCs/>
          <w:sz w:val="24"/>
          <w:szCs w:val="24"/>
          <w:lang w:val="fr-FR"/>
        </w:rPr>
      </w:pPr>
      <w:r w:rsidRPr="008E2565">
        <w:rPr>
          <w:bCs/>
          <w:sz w:val="24"/>
          <w:szCs w:val="24"/>
          <w:lang w:val="fr-FR"/>
        </w:rPr>
        <w:t>8)</w:t>
      </w:r>
      <w:r>
        <w:rPr>
          <w:bCs/>
          <w:sz w:val="24"/>
          <w:szCs w:val="24"/>
          <w:lang w:val="fr-FR"/>
        </w:rPr>
        <w:t xml:space="preserve"> </w:t>
      </w:r>
      <w:r w:rsidRPr="008E2565">
        <w:rPr>
          <w:bCs/>
          <w:sz w:val="24"/>
          <w:szCs w:val="24"/>
          <w:lang w:val="fr-FR"/>
        </w:rPr>
        <w:t xml:space="preserve">24 entreprises créées dans les quartiers - 600 personnes formées en gestion d’entreprises ; </w:t>
      </w:r>
    </w:p>
    <w:p w14:paraId="2312F335" w:rsidR="008E2565" w:rsidRPr="008E2565" w:rsidRDefault="008E2565" w:rsidP="008E2565">
      <w:pPr>
        <w:jc w:val="both"/>
        <w:rPr>
          <w:bCs/>
          <w:sz w:val="24"/>
          <w:szCs w:val="24"/>
          <w:lang w:val="fr-FR"/>
        </w:rPr>
      </w:pPr>
      <w:r w:rsidRPr="008E2565">
        <w:rPr>
          <w:bCs/>
          <w:sz w:val="24"/>
          <w:szCs w:val="24"/>
          <w:lang w:val="fr-FR"/>
        </w:rPr>
        <w:t xml:space="preserve">9) 2 concasseurs en fonctionnement - 24 camions et des engins de chantiers sont disponibles et réaffectés à d’autres projets ; </w:t>
      </w:r>
    </w:p>
    <w:p w14:paraId="1F4D63CE" w:rsidR="008E2565" w:rsidRDefault="008E2565" w:rsidP="008E2565">
      <w:pPr>
        <w:jc w:val="both"/>
        <w:rPr>
          <w:bCs/>
          <w:sz w:val="24"/>
          <w:szCs w:val="24"/>
          <w:lang w:val="fr-FR"/>
        </w:rPr>
      </w:pPr>
      <w:r w:rsidRPr="008E2565">
        <w:rPr>
          <w:bCs/>
          <w:sz w:val="24"/>
          <w:szCs w:val="24"/>
          <w:lang w:val="fr-FR"/>
        </w:rPr>
        <w:t>10) Les six quartiers de Port-au-Prince sont déchargés de 162.000 m3 de débris;</w:t>
      </w:r>
    </w:p>
    <w:p w14:paraId="11E57315" w:rsidR="008E2565" w:rsidRDefault="008E2565" w:rsidP="008E2565">
      <w:pPr>
        <w:rPr>
          <w:bCs/>
          <w:sz w:val="24"/>
          <w:szCs w:val="24"/>
          <w:lang w:val="fr-FR"/>
        </w:rPr>
      </w:pPr>
    </w:p>
    <w:p w14:paraId="5E7DBC4F" w:rsidR="008E2565" w:rsidRDefault="008E2565" w:rsidP="008E2565">
      <w:pPr>
        <w:rPr>
          <w:bCs/>
          <w:sz w:val="24"/>
          <w:szCs w:val="24"/>
          <w:lang w:val="fr-FR"/>
        </w:rPr>
      </w:pPr>
    </w:p>
    <w:p w14:paraId="12018056" w:rsidR="008E2565" w:rsidRDefault="008E2565" w:rsidP="008E2565">
      <w:pPr>
        <w:rPr>
          <w:bCs/>
          <w:sz w:val="24"/>
          <w:szCs w:val="24"/>
          <w:lang w:val="fr-FR"/>
        </w:rPr>
      </w:pPr>
    </w:p>
    <w:p w14:paraId="03B4FF09" w:rsidR="008E2565" w:rsidRDefault="008E2565" w:rsidP="008E2565">
      <w:pPr>
        <w:rPr>
          <w:bCs/>
          <w:sz w:val="24"/>
          <w:szCs w:val="24"/>
          <w:lang w:val="fr-FR"/>
        </w:rPr>
      </w:pPr>
    </w:p>
    <w:p w14:paraId="288167D3" w:rsidR="008E2565" w:rsidRDefault="008E2565" w:rsidP="008E2565">
      <w:pPr>
        <w:rPr>
          <w:bCs/>
          <w:sz w:val="24"/>
          <w:szCs w:val="24"/>
          <w:lang w:val="fr-FR"/>
        </w:rPr>
      </w:pPr>
    </w:p>
    <w:p w14:paraId="77B5B003" w:rsidR="008E2565" w:rsidRDefault="008E2565" w:rsidP="008E2565">
      <w:pPr>
        <w:rPr>
          <w:bCs/>
          <w:sz w:val="24"/>
          <w:szCs w:val="24"/>
          <w:lang w:val="fr-FR"/>
        </w:rPr>
      </w:pPr>
    </w:p>
    <w:p w14:paraId="5998FA19" w:rsidR="008E2565" w:rsidRDefault="008E2565" w:rsidP="008E2565">
      <w:pPr>
        <w:rPr>
          <w:b/>
          <w:bCs/>
          <w:sz w:val="28"/>
          <w:lang w:val="fr-FR"/>
        </w:rPr>
      </w:pPr>
    </w:p>
    <w:p w14:paraId="335A28AA" w:rsidR="008E2565" w:rsidRDefault="008E2565" w:rsidP="008E2565">
      <w:pPr>
        <w:rPr>
          <w:b/>
          <w:bCs/>
          <w:sz w:val="28"/>
          <w:lang w:val="fr-FR"/>
        </w:rPr>
      </w:pPr>
    </w:p>
    <w:p w14:paraId="6B0C4259" w:rsidR="008E2565" w:rsidRDefault="008E2565" w:rsidP="008E2565">
      <w:pPr>
        <w:rPr>
          <w:b/>
          <w:bCs/>
          <w:sz w:val="28"/>
          <w:lang w:val="fr-FR"/>
        </w:rPr>
      </w:pPr>
    </w:p>
    <w:p w14:paraId="3078E181" w:rsidR="008E2565" w:rsidRDefault="008E2565" w:rsidP="008E2565">
      <w:pPr>
        <w:rPr>
          <w:b/>
          <w:bCs/>
          <w:sz w:val="28"/>
          <w:lang w:val="fr-FR"/>
        </w:rPr>
      </w:pPr>
      <w:r>
        <w:rPr>
          <w:b/>
          <w:bCs/>
          <w:sz w:val="28"/>
          <w:lang w:val="fr-FR"/>
        </w:rPr>
        <w:lastRenderedPageBreak/>
        <w:t>AWP</w:t>
      </w:r>
      <w:r w:rsidRPr="00883091">
        <w:rPr>
          <w:lang w:val="fr-FR"/>
        </w:rPr>
        <w:t xml:space="preserve"> </w:t>
      </w:r>
      <w:r>
        <w:rPr>
          <w:b/>
          <w:bCs/>
          <w:sz w:val="28"/>
          <w:lang w:val="fr-FR"/>
        </w:rPr>
        <w:t>60216 – PID76983 – Gestion des débris</w:t>
      </w:r>
    </w:p>
    <w:p w14:paraId="0E22EC74" w:rsidR="00883091" w:rsidRDefault="00883091" w:rsidP="008E2565">
      <w:pPr>
        <w:shd w:val="clear" w:color="auto" w:fill="D9D9D9" w:themeFill="background1" w:themeFillShade="D9"/>
        <w:rPr>
          <w:b/>
          <w:bCs/>
          <w:sz w:val="24"/>
          <w:szCs w:val="20"/>
          <w:lang w:val="fr-FR"/>
        </w:rPr>
      </w:pPr>
      <w:r w:rsidRPr="006E5700">
        <w:rPr>
          <w:b/>
          <w:bCs/>
          <w:sz w:val="24"/>
          <w:szCs w:val="20"/>
          <w:lang w:val="fr-FR"/>
        </w:rPr>
        <w:t>Réali</w:t>
      </w:r>
      <w:bookmarkStart w:id="0" w:name="_GoBack"/>
      <w:bookmarkEnd w:id="0"/>
      <w:r w:rsidRPr="006E5700">
        <w:rPr>
          <w:b/>
          <w:bCs/>
          <w:sz w:val="24"/>
          <w:szCs w:val="20"/>
          <w:lang w:val="fr-FR"/>
        </w:rPr>
        <w:t>sations</w:t>
      </w:r>
      <w:r>
        <w:rPr>
          <w:b/>
          <w:bCs/>
          <w:sz w:val="24"/>
          <w:szCs w:val="20"/>
          <w:lang w:val="fr-FR"/>
        </w:rPr>
        <w:t xml:space="preserve"> </w:t>
      </w:r>
      <w:r w:rsidRPr="006E5700">
        <w:rPr>
          <w:b/>
          <w:bCs/>
          <w:sz w:val="24"/>
          <w:szCs w:val="20"/>
          <w:lang w:val="fr-FR"/>
        </w:rPr>
        <w:t>principales du projet en 2011</w:t>
      </w:r>
    </w:p>
    <w:p w14:paraId="2B1A8151" w:rsidR="008E2565" w:rsidRPr="008E2565" w:rsidRDefault="008E2565" w:rsidP="008E2565">
      <w:pPr>
        <w:jc w:val="both"/>
        <w:rPr>
          <w:bCs/>
          <w:sz w:val="24"/>
          <w:szCs w:val="24"/>
          <w:lang w:val="fr-FR"/>
        </w:rPr>
      </w:pPr>
      <w:r w:rsidRPr="008E2565">
        <w:rPr>
          <w:bCs/>
          <w:sz w:val="24"/>
          <w:szCs w:val="24"/>
          <w:lang w:val="fr-FR"/>
        </w:rPr>
        <w:t xml:space="preserve">1) Il s'agit des quartiers de </w:t>
      </w:r>
      <w:proofErr w:type="spellStart"/>
      <w:r w:rsidRPr="008E2565">
        <w:rPr>
          <w:bCs/>
          <w:sz w:val="24"/>
          <w:szCs w:val="24"/>
          <w:lang w:val="fr-FR"/>
        </w:rPr>
        <w:t>Lelio</w:t>
      </w:r>
      <w:proofErr w:type="spellEnd"/>
      <w:r w:rsidRPr="008E2565">
        <w:rPr>
          <w:bCs/>
          <w:sz w:val="24"/>
          <w:szCs w:val="24"/>
          <w:lang w:val="fr-FR"/>
        </w:rPr>
        <w:t xml:space="preserve">-Morne à tuf, St Gérard, </w:t>
      </w:r>
      <w:proofErr w:type="spellStart"/>
      <w:r w:rsidRPr="008E2565">
        <w:rPr>
          <w:bCs/>
          <w:sz w:val="24"/>
          <w:szCs w:val="24"/>
          <w:lang w:val="fr-FR"/>
        </w:rPr>
        <w:t>Desprez</w:t>
      </w:r>
      <w:proofErr w:type="spellEnd"/>
      <w:r w:rsidRPr="008E2565">
        <w:rPr>
          <w:bCs/>
          <w:sz w:val="24"/>
          <w:szCs w:val="24"/>
          <w:lang w:val="fr-FR"/>
        </w:rPr>
        <w:t>, Carrefour-Feuilles, Fort-Mercredi, Sanatorium.</w:t>
      </w:r>
    </w:p>
    <w:p w14:paraId="692F6BD0" w:rsidR="008E2565" w:rsidRPr="008E2565" w:rsidRDefault="008E2565" w:rsidP="008E2565">
      <w:pPr>
        <w:jc w:val="both"/>
        <w:rPr>
          <w:bCs/>
          <w:sz w:val="24"/>
          <w:szCs w:val="24"/>
          <w:lang w:val="fr-FR"/>
        </w:rPr>
      </w:pPr>
      <w:r w:rsidRPr="008E2565">
        <w:rPr>
          <w:bCs/>
          <w:sz w:val="24"/>
          <w:szCs w:val="24"/>
          <w:lang w:val="fr-FR"/>
        </w:rPr>
        <w:t>2) Cette cible a été atteinte à 100%. La gestion des débris est une des priorités du MTPTC et de la municipalité de Port-au-Prince.</w:t>
      </w:r>
    </w:p>
    <w:p w14:paraId="43CF3AAD" w:rsidR="008E2565" w:rsidRPr="008E2565" w:rsidRDefault="008E2565" w:rsidP="008E2565">
      <w:pPr>
        <w:jc w:val="both"/>
        <w:rPr>
          <w:bCs/>
          <w:sz w:val="24"/>
          <w:szCs w:val="24"/>
          <w:lang w:val="fr-FR"/>
        </w:rPr>
      </w:pPr>
      <w:r w:rsidRPr="008E2565">
        <w:rPr>
          <w:bCs/>
          <w:sz w:val="24"/>
          <w:szCs w:val="24"/>
          <w:lang w:val="fr-FR"/>
        </w:rPr>
        <w:t xml:space="preserve">3) Cette cible a été atteinte à 100%. Tous les équipements de bureau et </w:t>
      </w:r>
      <w:proofErr w:type="gramStart"/>
      <w:r w:rsidRPr="008E2565">
        <w:rPr>
          <w:bCs/>
          <w:sz w:val="24"/>
          <w:szCs w:val="24"/>
          <w:lang w:val="fr-FR"/>
        </w:rPr>
        <w:t>tous</w:t>
      </w:r>
      <w:proofErr w:type="gramEnd"/>
      <w:r w:rsidRPr="008E2565">
        <w:rPr>
          <w:bCs/>
          <w:sz w:val="24"/>
          <w:szCs w:val="24"/>
          <w:lang w:val="fr-FR"/>
        </w:rPr>
        <w:t xml:space="preserve"> les machines pour l’évacuation et le recyclage des débris ont été achetés ou mis à la disposition du projet (</w:t>
      </w:r>
      <w:proofErr w:type="spellStart"/>
      <w:r w:rsidRPr="008E2565">
        <w:rPr>
          <w:bCs/>
          <w:sz w:val="24"/>
          <w:szCs w:val="24"/>
          <w:lang w:val="fr-FR"/>
        </w:rPr>
        <w:t>crusher</w:t>
      </w:r>
      <w:proofErr w:type="spellEnd"/>
      <w:r w:rsidRPr="008E2565">
        <w:rPr>
          <w:bCs/>
          <w:sz w:val="24"/>
          <w:szCs w:val="24"/>
          <w:lang w:val="fr-FR"/>
        </w:rPr>
        <w:t xml:space="preserve">). Les ONG  sous contrat UNDP ont acquis les outillages nécessaires pour le déblaiement ainsi que les équipements de protection (casques, bottes, masques anti-poussière...) </w:t>
      </w:r>
    </w:p>
    <w:p w14:paraId="0D29E59C" w:rsidR="008E2565" w:rsidRDefault="008E2565" w:rsidP="008E2565">
      <w:pPr>
        <w:jc w:val="both"/>
        <w:rPr>
          <w:bCs/>
          <w:sz w:val="24"/>
          <w:szCs w:val="24"/>
          <w:lang w:val="fr-FR"/>
        </w:rPr>
      </w:pPr>
      <w:r w:rsidRPr="008E2565">
        <w:rPr>
          <w:bCs/>
          <w:sz w:val="24"/>
          <w:szCs w:val="24"/>
          <w:lang w:val="fr-FR"/>
        </w:rPr>
        <w:t>4) La gestion efficace des débris, et notamment la démolition des maisons taguées rouges, est difficile quand il n’y a pas de programme</w:t>
      </w:r>
      <w:r w:rsidRPr="008E2565">
        <w:rPr>
          <w:b/>
          <w:bCs/>
          <w:sz w:val="28"/>
          <w:lang w:val="fr-FR"/>
        </w:rPr>
        <w:t xml:space="preserve"> </w:t>
      </w:r>
      <w:r w:rsidRPr="008E2565">
        <w:rPr>
          <w:bCs/>
          <w:sz w:val="24"/>
          <w:szCs w:val="24"/>
          <w:lang w:val="fr-FR"/>
        </w:rPr>
        <w:t>d’assistance financière et technique pour la reconstruction, car les ménages sinistrés n’ont pas de possibilités de trouver des logements alternatifs. La réutilisation des débris in-situ n’est pas évidente quand le déblaiement doit être fait avant que les projets de reconstruction/restructuration soient définis et que le financement et les  mécanismes de mise en œuvre soient assurés.</w:t>
      </w:r>
    </w:p>
    <w:p w14:paraId="6ECF8CEB" w:rsidR="008E2565" w:rsidRPr="008E2565" w:rsidRDefault="008E2565" w:rsidP="008E2565">
      <w:pPr>
        <w:jc w:val="both"/>
        <w:rPr>
          <w:bCs/>
          <w:sz w:val="24"/>
          <w:szCs w:val="24"/>
          <w:lang w:val="fr-FR"/>
        </w:rPr>
      </w:pPr>
      <w:r w:rsidRPr="008E2565">
        <w:rPr>
          <w:bCs/>
          <w:sz w:val="24"/>
          <w:szCs w:val="24"/>
          <w:lang w:val="fr-FR"/>
        </w:rPr>
        <w:t>5)</w:t>
      </w:r>
      <w:r>
        <w:rPr>
          <w:bCs/>
          <w:sz w:val="24"/>
          <w:szCs w:val="24"/>
          <w:lang w:val="fr-FR"/>
        </w:rPr>
        <w:t xml:space="preserve"> </w:t>
      </w:r>
      <w:r w:rsidRPr="008E2565">
        <w:rPr>
          <w:bCs/>
          <w:sz w:val="24"/>
          <w:szCs w:val="24"/>
          <w:lang w:val="fr-FR"/>
        </w:rPr>
        <w:t>17 micro entrepreneurs de la construction ont été renforcés avec de l’équipement : 24 concasseurs manuels ont été mis à leur disposition ou auprès d'</w:t>
      </w:r>
      <w:proofErr w:type="spellStart"/>
      <w:r w:rsidRPr="008E2565">
        <w:rPr>
          <w:bCs/>
          <w:sz w:val="24"/>
          <w:szCs w:val="24"/>
          <w:lang w:val="fr-FR"/>
        </w:rPr>
        <w:t>Ong</w:t>
      </w:r>
      <w:proofErr w:type="spellEnd"/>
      <w:r w:rsidRPr="008E2565">
        <w:rPr>
          <w:bCs/>
          <w:sz w:val="24"/>
          <w:szCs w:val="24"/>
          <w:lang w:val="fr-FR"/>
        </w:rPr>
        <w:t xml:space="preserve"> en charge du déblaiement; la machinerie pour la production d’</w:t>
      </w:r>
      <w:proofErr w:type="spellStart"/>
      <w:r w:rsidRPr="008E2565">
        <w:rPr>
          <w:bCs/>
          <w:sz w:val="24"/>
          <w:szCs w:val="24"/>
          <w:lang w:val="fr-FR"/>
        </w:rPr>
        <w:t>adoquins</w:t>
      </w:r>
      <w:proofErr w:type="spellEnd"/>
      <w:r w:rsidRPr="008E2565">
        <w:rPr>
          <w:bCs/>
          <w:sz w:val="24"/>
          <w:szCs w:val="24"/>
          <w:lang w:val="fr-FR"/>
        </w:rPr>
        <w:t>, la production de tuiles, pour les matériaux vibrés et des outils divers ont été fournis. Ces entrepreneurs assurent la production et la commercialisation de matériaux de construction fabriqués avec des débris recyclés.</w:t>
      </w:r>
    </w:p>
    <w:p w14:paraId="4656996A" w:rsidR="008E2565" w:rsidRPr="008E2565" w:rsidRDefault="008E2565" w:rsidP="008E2565">
      <w:pPr>
        <w:jc w:val="both"/>
        <w:rPr>
          <w:bCs/>
          <w:sz w:val="24"/>
          <w:szCs w:val="24"/>
          <w:lang w:val="fr-FR"/>
        </w:rPr>
      </w:pPr>
      <w:r w:rsidRPr="008E2565">
        <w:rPr>
          <w:bCs/>
          <w:sz w:val="24"/>
          <w:szCs w:val="24"/>
          <w:lang w:val="fr-FR"/>
        </w:rPr>
        <w:t>6) Cette cible a été atteinte à 100%.  Le nombre de personnels recrutés s'élève à 10 selon les besoins du projet ;</w:t>
      </w:r>
    </w:p>
    <w:p w14:paraId="33071761" w:rsidR="008E2565" w:rsidRPr="008E2565" w:rsidRDefault="008E2565" w:rsidP="008E2565">
      <w:pPr>
        <w:jc w:val="both"/>
        <w:rPr>
          <w:bCs/>
          <w:sz w:val="24"/>
          <w:szCs w:val="24"/>
          <w:lang w:val="fr-FR"/>
        </w:rPr>
      </w:pPr>
      <w:r w:rsidRPr="008E2565">
        <w:rPr>
          <w:bCs/>
          <w:sz w:val="24"/>
          <w:szCs w:val="24"/>
          <w:lang w:val="fr-FR"/>
        </w:rPr>
        <w:t xml:space="preserve">7) La planification communautaire dans les quartiers </w:t>
      </w:r>
      <w:proofErr w:type="spellStart"/>
      <w:r w:rsidRPr="008E2565">
        <w:rPr>
          <w:bCs/>
          <w:sz w:val="24"/>
          <w:szCs w:val="24"/>
          <w:lang w:val="fr-FR"/>
        </w:rPr>
        <w:t>Descayettes</w:t>
      </w:r>
      <w:proofErr w:type="spellEnd"/>
      <w:r w:rsidRPr="008E2565">
        <w:rPr>
          <w:bCs/>
          <w:sz w:val="24"/>
          <w:szCs w:val="24"/>
          <w:lang w:val="fr-FR"/>
        </w:rPr>
        <w:t xml:space="preserve">, </w:t>
      </w:r>
      <w:proofErr w:type="spellStart"/>
      <w:r w:rsidRPr="008E2565">
        <w:rPr>
          <w:bCs/>
          <w:sz w:val="24"/>
          <w:szCs w:val="24"/>
          <w:lang w:val="fr-FR"/>
        </w:rPr>
        <w:t>Saieh</w:t>
      </w:r>
      <w:proofErr w:type="spellEnd"/>
      <w:r w:rsidRPr="008E2565">
        <w:rPr>
          <w:bCs/>
          <w:sz w:val="24"/>
          <w:szCs w:val="24"/>
          <w:lang w:val="fr-FR"/>
        </w:rPr>
        <w:t xml:space="preserve">, Sanatorium et Savane-Pistaches a produit un plan de restructuration composé de plus que 50 projets communautaires. Ce travail a permis d’identifier quatre grands axes directeurs de la stratégie globale d’intervention : (i) l’environnement : maitriser les risques liés aux phénomènes naturels et aux activités humaines ; (ii) l’habitat : permettre à chacun d’accéder à un logement convenable ; (iii) les services : répondre aux besoins de base ; et (iv) les espaces extérieurs et lieux de vie publique à savoir rendre les quartiers plus accessibles et plus agréables. </w:t>
      </w:r>
    </w:p>
    <w:p w14:paraId="5A1AA4B7" w:rsidR="008E2565" w:rsidRPr="008E2565" w:rsidRDefault="008E2565" w:rsidP="008E2565">
      <w:pPr>
        <w:jc w:val="both"/>
        <w:rPr>
          <w:bCs/>
          <w:sz w:val="24"/>
          <w:szCs w:val="24"/>
          <w:lang w:val="fr-FR"/>
        </w:rPr>
      </w:pPr>
    </w:p>
    <w:p w14:paraId="4C7B54B7" w:rsidR="008E2565" w:rsidRPr="008E2565" w:rsidRDefault="008E2565" w:rsidP="008E2565">
      <w:pPr>
        <w:jc w:val="both"/>
        <w:rPr>
          <w:bCs/>
          <w:sz w:val="24"/>
          <w:szCs w:val="24"/>
          <w:lang w:val="fr-FR"/>
        </w:rPr>
      </w:pPr>
      <w:r w:rsidRPr="008E2565">
        <w:rPr>
          <w:bCs/>
          <w:sz w:val="24"/>
          <w:szCs w:val="24"/>
          <w:lang w:val="fr-FR"/>
        </w:rPr>
        <w:lastRenderedPageBreak/>
        <w:t xml:space="preserve">Une grande partie des projets vise l’utilisation des débris in-situ pour l’amélioration des conditions de vie dans les quartiers. Surtout, les projets d’aménagement des espaces publics et de la voirie sont conçus pour utiliser un maximum de débris. Parmi ces projets, il y a 3 projets « phares » localisés dans les cœurs des quartiers et qui sont basés sur une approche de « renouveau » pour chacun de ces quartiers. </w:t>
      </w:r>
    </w:p>
    <w:p w14:paraId="764D3862" w:rsidR="008E2565" w:rsidRPr="008E2565" w:rsidRDefault="008E2565" w:rsidP="008E2565">
      <w:pPr>
        <w:jc w:val="both"/>
        <w:rPr>
          <w:bCs/>
          <w:sz w:val="24"/>
          <w:szCs w:val="24"/>
          <w:lang w:val="fr-FR"/>
        </w:rPr>
      </w:pPr>
      <w:r w:rsidRPr="008E2565">
        <w:rPr>
          <w:bCs/>
          <w:sz w:val="24"/>
          <w:szCs w:val="24"/>
          <w:lang w:val="fr-FR"/>
        </w:rPr>
        <w:t xml:space="preserve">Le projet a renforcé les capacités des organisations communautaires dans le diagnostic de leurs problèmes et dans la définition et priorisation des projets de développement communautaire. Les comités des organisations communautaires sont organisés dans le réseau COMPHARE. Lors du forum de restitution des résultats de la composante « Urbanisme participatif » du Projet Débris 1, les leaders des organisations communautaires ont fait preuve de leurs capacités (renforcée par le Projet) de présenter leurs besoins et projets prioritaires au public et aux medias, de façon succincte et structurée. </w:t>
      </w:r>
    </w:p>
    <w:p w14:paraId="7B993C88" w:rsidR="008E2565" w:rsidRPr="008E2565" w:rsidRDefault="008E2565" w:rsidP="008E2565">
      <w:pPr>
        <w:jc w:val="both"/>
        <w:rPr>
          <w:bCs/>
          <w:sz w:val="24"/>
          <w:szCs w:val="24"/>
          <w:lang w:val="fr-FR"/>
        </w:rPr>
      </w:pPr>
      <w:r w:rsidRPr="008E2565">
        <w:rPr>
          <w:bCs/>
          <w:sz w:val="24"/>
          <w:szCs w:val="24"/>
          <w:lang w:val="fr-FR"/>
        </w:rPr>
        <w:t>8)</w:t>
      </w:r>
      <w:r>
        <w:rPr>
          <w:bCs/>
          <w:sz w:val="24"/>
          <w:szCs w:val="24"/>
          <w:lang w:val="fr-FR"/>
        </w:rPr>
        <w:t xml:space="preserve"> </w:t>
      </w:r>
      <w:r w:rsidRPr="008E2565">
        <w:rPr>
          <w:bCs/>
          <w:sz w:val="24"/>
          <w:szCs w:val="24"/>
          <w:lang w:val="fr-FR"/>
        </w:rPr>
        <w:t>17 entrepreneurs privés de la construction ont renforcé leurs micro-entreprises et travaillent dans la production et l'utilisation de matériaux de construction, fabriqués à partir de débris recyclés - 150 personnes ont été formées en gestion d’entreprises.</w:t>
      </w:r>
    </w:p>
    <w:p w14:paraId="3F679F01" w:rsidR="008E2565" w:rsidRPr="008E2565" w:rsidRDefault="008E2565" w:rsidP="008E2565">
      <w:pPr>
        <w:jc w:val="both"/>
        <w:rPr>
          <w:bCs/>
          <w:sz w:val="24"/>
          <w:szCs w:val="24"/>
          <w:lang w:val="fr-FR"/>
        </w:rPr>
      </w:pPr>
      <w:r w:rsidRPr="008E2565">
        <w:rPr>
          <w:bCs/>
          <w:sz w:val="24"/>
          <w:szCs w:val="24"/>
          <w:lang w:val="fr-FR"/>
        </w:rPr>
        <w:t xml:space="preserve">9) 2 concasseurs sont en service. L'un d'Habitat 4 </w:t>
      </w:r>
      <w:proofErr w:type="spellStart"/>
      <w:r w:rsidRPr="008E2565">
        <w:rPr>
          <w:bCs/>
          <w:sz w:val="24"/>
          <w:szCs w:val="24"/>
          <w:lang w:val="fr-FR"/>
        </w:rPr>
        <w:t>Humanity</w:t>
      </w:r>
      <w:proofErr w:type="spellEnd"/>
      <w:r w:rsidRPr="008E2565">
        <w:rPr>
          <w:bCs/>
          <w:sz w:val="24"/>
          <w:szCs w:val="24"/>
          <w:lang w:val="fr-FR"/>
        </w:rPr>
        <w:t xml:space="preserve">, l'autre </w:t>
      </w:r>
      <w:proofErr w:type="gramStart"/>
      <w:r w:rsidRPr="008E2565">
        <w:rPr>
          <w:bCs/>
          <w:sz w:val="24"/>
          <w:szCs w:val="24"/>
          <w:lang w:val="fr-FR"/>
        </w:rPr>
        <w:t>de Oxfam</w:t>
      </w:r>
      <w:proofErr w:type="gramEnd"/>
      <w:r w:rsidRPr="008E2565">
        <w:rPr>
          <w:bCs/>
          <w:sz w:val="24"/>
          <w:szCs w:val="24"/>
          <w:lang w:val="fr-FR"/>
        </w:rPr>
        <w:t xml:space="preserve"> DWR. En ce qui concerne les camions et les engins de chantier, cette commande a été annulée dans le cadre de la réorientation stratégique décidée en Juillet 2011 décrit dans l'amendement 2 entre PNUD et UNOPS.</w:t>
      </w:r>
    </w:p>
    <w:p w14:paraId="3BA0165E" w:rsidR="008E2565" w:rsidRPr="008E2565" w:rsidRDefault="008E2565" w:rsidP="008E2565">
      <w:pPr>
        <w:jc w:val="both"/>
        <w:rPr>
          <w:bCs/>
          <w:sz w:val="24"/>
          <w:szCs w:val="24"/>
          <w:lang w:val="fr-FR"/>
        </w:rPr>
      </w:pPr>
      <w:r w:rsidRPr="008E2565">
        <w:rPr>
          <w:bCs/>
          <w:sz w:val="24"/>
          <w:szCs w:val="24"/>
          <w:lang w:val="fr-FR"/>
        </w:rPr>
        <w:t>10) 61% de la cible a été atteint; 100.000 m3 de débris ont été évacués.</w:t>
      </w:r>
    </w:p>
    <w:sectPr w:rsidR="008E2565" w:rsidRPr="008E2565" w:rsidSect="008E25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B2B69"/>
    <w:multiLevelType w:val="hybridMultilevel"/>
    <w:tmpl w:val="52D04F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00"/>
  <w:proofState w:spelling="clean" w:grammar="clean"/>
  <w:defaultTabStop w:val="720"/>
  <w:characterSpacingControl w:val="doNotCompress"/>
  <w:compat/>
  <w:rsids>
    <w:rsidRoot w:val="00883091"/>
    <w:rsid w:val="00883091"/>
    <w:rsid w:val="008D47A9"/>
    <w:rsid w:val="008E2565"/>
    <w:rsid w:val="00C461EB"/>
    <w:rsid w:val="00E26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C45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E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091"/>
    <w:pPr>
      <w:spacing w:after="0" w:line="240"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ATLASPDC-3-5166</_dlc_DocId>
    <_dlc_DocIdUrl xmlns="f1161f5b-24a3-4c2d-bc81-44cb9325e8ee">
      <Url>https://info.undp.org/docs/pdc/_layouts/DocIdRedir.aspx?ID=ATLASPDC-3-5166</Url>
      <Description>ATLASPDC-3-5166</Description>
    </_dlc_DocIdUrl>
    <UNDPDocumentCategoryTaxHTField0 xmlns="1ed4137b-41b2-488b-8250-6d369ec27664">
      <Terms xmlns="http://schemas.microsoft.com/office/infopath/2007/PartnerControls"/>
    </UNDPDocumentCategoryTaxHTField0>
    <UNDPPublishedDate xmlns="f1161f5b-24a3-4c2d-bc81-44cb9325e8ee" xsi:nil="true"/>
    <PDC_x0020_Document_x0020_Category xmlns="f1161f5b-24a3-4c2d-bc81-44cb9325e8ee">Project</PDC_x0020_Document_x0020_Category>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o4086b1782a74105bb5269035bccc8e9>
    <Project_x0020_Number xmlns="f1161f5b-24a3-4c2d-bc81-44cb9325e8ee">00060216</Project_x0020_Number>
    <Project_x0020_Manager xmlns="f1161f5b-24a3-4c2d-bc81-44cb9325e8ee" xsi:nil="true"/>
    <TaxCatchAll xmlns="1ed4137b-41b2-488b-8250-6d369ec27664">
      <Value>1112</Value>
      <Value>1104</Value>
    </TaxCatchAll>
    <Outcome1 xmlns="f1161f5b-24a3-4c2d-bc81-44cb9325e8ee">00076983</Outcome1>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HTI</TermName>
          <TermId xmlns="http://schemas.microsoft.com/office/infopath/2007/PartnerControls">5be132d4-7fd1-4fe7-8647-bc7f89962c37</TermId>
        </TermInfo>
      </Terms>
    </gc6531b704974d528487414686b72f6f>
    <UN_x0020_LanguagesTaxHTField0 xmlns="1ed4137b-41b2-488b-8250-6d369ec27664">
      <Terms xmlns="http://schemas.microsoft.com/office/infopath/2007/PartnerControls"/>
    </UN_x0020_Languages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_Publisher xmlns="http://schemas.microsoft.com/sharepoint/v3/fields" xsi:nil="true"/>
    <UNDPPOPPFunctionalArea xmlns="f1161f5b-24a3-4c2d-bc81-44cb9325e8ee" xsi:nil="true"/>
    <c4e2ab2cc9354bbf9064eeb465a566ea xmlns="1ed4137b-41b2-488b-8250-6d369ec27664">
      <Terms xmlns="http://schemas.microsoft.com/office/infopath/2007/PartnerControls"/>
    </c4e2ab2cc9354bbf9064eeb465a566ea>
    <UndpProjectNo xmlns="1ed4137b-41b2-488b-8250-6d369ec27664">00060216</UndpProjectNo>
    <UndpDocStatus xmlns="1ed4137b-41b2-488b-8250-6d369ec27664" xsi:nil="true"/>
    <UndpClassificationLevel xmlns="1ed4137b-41b2-488b-8250-6d369ec27664" xsi:nil="true"/>
    <UndpIsTemplate xmlns="1ed4137b-41b2-488b-8250-6d369ec27664" xsi:nil="true"/>
    <UndpDocID xmlns="1ed4137b-41b2-488b-8250-6d369ec27664" xsi:nil="true"/>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379A8000-95DF-408C-81DE-A83C6117B2E2}"/>
</file>

<file path=customXml/itemProps2.xml><?xml version="1.0" encoding="utf-8"?>
<ds:datastoreItem xmlns:ds="http://schemas.openxmlformats.org/officeDocument/2006/customXml" ds:itemID="{46ED65D2-39D1-4496-9D34-13ECDE4D23D4}"/>
</file>

<file path=customXml/itemProps3.xml><?xml version="1.0" encoding="utf-8"?>
<ds:datastoreItem xmlns:ds="http://schemas.openxmlformats.org/officeDocument/2006/customXml" ds:itemID="{BB04E307-5576-4411-B995-A80EB8E7DF4D}"/>
</file>

<file path=customXml/itemProps4.xml><?xml version="1.0" encoding="utf-8"?>
<ds:datastoreItem xmlns:ds="http://schemas.openxmlformats.org/officeDocument/2006/customXml" ds:itemID="{2EA5D2F4-16B3-47F1-AD87-87CC212ABC79}"/>
</file>

<file path=customXml/itemProps5.xml><?xml version="1.0" encoding="utf-8"?>
<ds:datastoreItem xmlns:ds="http://schemas.openxmlformats.org/officeDocument/2006/customXml" ds:itemID="{7B957945-A73E-4ABC-A513-A7D19CB38FEA}"/>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Leopold Fenelon</dc:creator>
  <cp:lastModifiedBy>Leopold Fenelon</cp:lastModifiedBy>
  <cp:revision>2</cp:revision>
  <cp:lastPrinted>2012-02-24T13:39:00Z</cp:lastPrinted>
  <dcterms:created xsi:type="dcterms:W3CDTF">2012-02-24T13:41:00Z</dcterms:created>
  <dcterms:modified xsi:type="dcterms:W3CDTF">2012-02-24T13:41:00Z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c9910dfd-1aee-4ec4-8bfc-cc6c793506a7</vt:lpwstr>
  </property>
  <property fmtid="{D5CDD505-2E9C-101B-9397-08002B2CF9AE}" pid="3" name="ContentTypeId">
    <vt:lpwstr>0x010100F075C04BA242A84ABD3293E3AD35CDA400AB50428DC784B44FAACCAA5FAE40C0590045B5E632B552204ABF0E616DD66BDA0F</vt:lpwstr>
  </property>
  <property fmtid="{D5CDD505-2E9C-101B-9397-08002B2CF9AE}" pid="5" name="Unit">
    <vt:lpwstr/>
  </property>
  <property fmtid="{D5CDD505-2E9C-101B-9397-08002B2CF9AE}" pid="6" name="UNDPFocusAreas">
    <vt:lpwstr/>
  </property>
  <property fmtid="{D5CDD505-2E9C-101B-9397-08002B2CF9AE}" pid="8" name="Operating Unit0">
    <vt:lpwstr>1104;#HTI|5be132d4-7fd1-4fe7-8647-bc7f89962c37</vt:lpwstr>
  </property>
  <property fmtid="{D5CDD505-2E9C-101B-9397-08002B2CF9AE}" pid="9" name="UNDPCountry">
    <vt:lpwstr/>
  </property>
  <property fmtid="{D5CDD505-2E9C-101B-9397-08002B2CF9AE}" pid="14" name="Atlas Document Type">
    <vt:lpwstr>1112;#Progress Report|03c70d0e-c75e-4cfb-8288-e692640ede14</vt:lpwstr>
  </property>
  <property fmtid="{D5CDD505-2E9C-101B-9397-08002B2CF9AE}" pid="15" name="UndpUnitMM">
    <vt:lpwstr/>
  </property>
  <property fmtid="{D5CDD505-2E9C-101B-9397-08002B2CF9AE}" pid="16" name="UnitTaxHTField0">
    <vt:lpwstr/>
  </property>
  <property fmtid="{D5CDD505-2E9C-101B-9397-08002B2CF9AE}" pid="17" name="Atlas_x0020_Document_x0020_Status">
    <vt:lpwstr/>
  </property>
  <property fmtid="{D5CDD505-2E9C-101B-9397-08002B2CF9AE}" pid="18" name="UndpDocTypeMM">
    <vt:lpwstr/>
  </property>
  <property fmtid="{D5CDD505-2E9C-101B-9397-08002B2CF9AE}" pid="19" name="UNDPDocumentCategory">
    <vt:lpwstr/>
  </property>
  <property fmtid="{D5CDD505-2E9C-101B-9397-08002B2CF9AE}" pid="20" name="UN Languages">
    <vt:lpwstr/>
  </property>
  <property fmtid="{D5CDD505-2E9C-101B-9397-08002B2CF9AE}" pid="21" name="eRegFilingCodeMM">
    <vt:lpwstr/>
  </property>
  <property fmtid="{D5CDD505-2E9C-101B-9397-08002B2CF9AE}" pid="22" name="Atlas Document Status">
    <vt:lpwstr/>
  </property>
  <property fmtid="{D5CDD505-2E9C-101B-9397-08002B2CF9AE}" pid="23" name="DocumentSetDescription">
    <vt:lpwstr/>
  </property>
  <property fmtid="{D5CDD505-2E9C-101B-9397-08002B2CF9AE}" pid="24" name="URL">
    <vt:lpwstr/>
  </property>
</Properties>
</file>